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D260A3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D260A3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0A3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D260A3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D260A3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052D9" w:rsidRPr="00D260A3" w:rsidRDefault="00C052D9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305DED" w:rsidRPr="00D260A3" w:rsidRDefault="00305DED" w:rsidP="00305DED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D260A3" w:rsidRPr="00D260A3" w:rsidRDefault="00D260A3" w:rsidP="00D260A3">
      <w:pPr>
        <w:tabs>
          <w:tab w:val="left" w:pos="1134"/>
        </w:tabs>
        <w:spacing w:before="120" w:after="12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cs-CZ"/>
        </w:rPr>
      </w:pPr>
      <w:r w:rsidRPr="00D260A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Stavba: „</w:t>
      </w:r>
      <w:r w:rsidRPr="00D260A3">
        <w:rPr>
          <w:rFonts w:ascii="Arial" w:hAnsi="Arial" w:cs="Arial"/>
          <w:b/>
          <w:sz w:val="20"/>
          <w:szCs w:val="20"/>
          <w:u w:val="single"/>
        </w:rPr>
        <w:t>II/351 Račerovice - Třebíč</w:t>
      </w:r>
      <w:r w:rsidRPr="00D260A3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“</w:t>
      </w: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 xml:space="preserve">Předmětem stavby je oprava povrchu </w:t>
      </w:r>
      <w:r w:rsidRPr="00D260A3">
        <w:rPr>
          <w:rFonts w:ascii="Arial" w:hAnsi="Arial" w:cs="Arial"/>
          <w:sz w:val="20"/>
          <w:szCs w:val="20"/>
        </w:rPr>
        <w:t>silnice II/351 v úseku od km 59,756 po km 62,980 formou případných hloubkových sanací podkladních vrstev a provedení nové ložné vrstvy ACL 16+ tloušťky 50 mm, obrusné vrstvy AC0 11+ tloušťky 50 mm, sanací místně se vyskytujících mrazových trhlin proříznutím a zalitím asfaltem, lokálních sanací odfrézováním obrusné vrstvy a její obnovou z AC0 11+ tloušťky 50 mm a sjednocení povrchu v celém opravovaném úseku dvojitým mikrokobercem. Opravená vozovka zachová původní podélné sklony. Stávající vodorovné dopravní značení bude obnoveno. Oprava silnice bude respektovat stávající hospodářské sjezdy.</w:t>
      </w: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260A3">
        <w:rPr>
          <w:rFonts w:ascii="Arial" w:hAnsi="Arial" w:cs="Arial"/>
          <w:b/>
          <w:i/>
          <w:sz w:val="20"/>
          <w:szCs w:val="20"/>
        </w:rPr>
        <w:t>Technické podmínky:</w:t>
      </w: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60A3">
        <w:rPr>
          <w:rFonts w:ascii="Arial" w:hAnsi="Arial" w:cs="Arial"/>
          <w:sz w:val="20"/>
          <w:szCs w:val="20"/>
        </w:rPr>
        <w:t>Stavba je rozdělena do stavebních objektů:</w:t>
      </w: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260A3">
        <w:rPr>
          <w:rFonts w:ascii="Arial" w:hAnsi="Arial" w:cs="Arial"/>
          <w:b/>
          <w:sz w:val="20"/>
          <w:szCs w:val="20"/>
        </w:rPr>
        <w:t>Dle PD „II/351 Čechtín – Račerovice - Třebíč“</w:t>
      </w: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260A3" w:rsidRPr="00D260A3" w:rsidRDefault="00D260A3" w:rsidP="00D260A3">
      <w:pPr>
        <w:pStyle w:val="Odstavecseseznamem"/>
        <w:numPr>
          <w:ilvl w:val="0"/>
          <w:numId w:val="24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60A3">
        <w:rPr>
          <w:rFonts w:ascii="Arial" w:hAnsi="Arial" w:cs="Arial"/>
          <w:sz w:val="20"/>
          <w:szCs w:val="20"/>
        </w:rPr>
        <w:t>SO 000 – Ostatní a vedlejší náklady</w:t>
      </w:r>
    </w:p>
    <w:p w:rsidR="00D260A3" w:rsidRPr="00D260A3" w:rsidRDefault="00D260A3" w:rsidP="00D260A3">
      <w:pPr>
        <w:pStyle w:val="Odstavecseseznamem"/>
        <w:numPr>
          <w:ilvl w:val="0"/>
          <w:numId w:val="24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60A3">
        <w:rPr>
          <w:rFonts w:ascii="Arial" w:hAnsi="Arial" w:cs="Arial"/>
          <w:sz w:val="20"/>
          <w:szCs w:val="20"/>
        </w:rPr>
        <w:t>SO 101.2 – Komunikace II/351 Račerovice - Třebíč v km 59,756 – 62,980</w:t>
      </w:r>
    </w:p>
    <w:p w:rsidR="00D260A3" w:rsidRPr="00D260A3" w:rsidRDefault="00D260A3" w:rsidP="00D260A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60A3" w:rsidRPr="00D260A3" w:rsidRDefault="00D260A3" w:rsidP="00D260A3">
      <w:pPr>
        <w:pStyle w:val="Default"/>
        <w:rPr>
          <w:sz w:val="20"/>
          <w:szCs w:val="20"/>
        </w:rPr>
      </w:pPr>
    </w:p>
    <w:p w:rsidR="00D260A3" w:rsidRPr="00D260A3" w:rsidRDefault="00D260A3" w:rsidP="00D260A3">
      <w:pPr>
        <w:pStyle w:val="Default"/>
        <w:rPr>
          <w:b/>
          <w:sz w:val="20"/>
          <w:szCs w:val="20"/>
        </w:rPr>
      </w:pPr>
      <w:r w:rsidRPr="00D260A3">
        <w:rPr>
          <w:b/>
          <w:sz w:val="20"/>
          <w:szCs w:val="20"/>
        </w:rPr>
        <w:t>SO 101.2 –  Komunikace II/351 Račerovice – Třebíč v km 59,756 – 62,980</w:t>
      </w:r>
    </w:p>
    <w:p w:rsidR="00D260A3" w:rsidRPr="00D260A3" w:rsidRDefault="00D260A3" w:rsidP="00D260A3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>Výškové vedení komunikací je v navýšené niveletě 16,0 mm kopírující průběh stávající nivelety. Komunikace jsou navrženy ve střechovitém příčném sklonu 2,5 %. Niveleta zachovává stávající podélné sklony.</w:t>
      </w:r>
    </w:p>
    <w:p w:rsidR="00D260A3" w:rsidRPr="00D260A3" w:rsidRDefault="00D260A3" w:rsidP="00D260A3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>Nový kryt je navržen ve stávající šířce 6,1 – 6,2 m. Silnice je navržená jako obousměrná komunikace.</w:t>
      </w:r>
    </w:p>
    <w:p w:rsidR="00D260A3" w:rsidRPr="00D260A3" w:rsidRDefault="00D260A3" w:rsidP="00D260A3">
      <w:pPr>
        <w:pStyle w:val="Default"/>
        <w:rPr>
          <w:b/>
          <w:sz w:val="20"/>
          <w:szCs w:val="20"/>
        </w:rPr>
      </w:pPr>
      <w:r w:rsidRPr="00D260A3">
        <w:rPr>
          <w:b/>
          <w:sz w:val="20"/>
          <w:szCs w:val="20"/>
        </w:rPr>
        <w:t xml:space="preserve">Konstrukce vozovky: </w:t>
      </w:r>
    </w:p>
    <w:p w:rsidR="00D260A3" w:rsidRPr="00D260A3" w:rsidRDefault="00D260A3" w:rsidP="00D260A3">
      <w:pPr>
        <w:pStyle w:val="Default"/>
        <w:rPr>
          <w:b/>
          <w:sz w:val="20"/>
          <w:szCs w:val="20"/>
          <w:u w:val="single"/>
        </w:rPr>
      </w:pPr>
    </w:p>
    <w:p w:rsidR="00D260A3" w:rsidRPr="00D260A3" w:rsidRDefault="00D260A3" w:rsidP="00D260A3">
      <w:pPr>
        <w:pStyle w:val="Default"/>
        <w:rPr>
          <w:b/>
          <w:sz w:val="20"/>
          <w:szCs w:val="20"/>
          <w:u w:val="single"/>
        </w:rPr>
      </w:pPr>
      <w:r w:rsidRPr="00D260A3">
        <w:rPr>
          <w:b/>
          <w:sz w:val="20"/>
          <w:szCs w:val="20"/>
          <w:u w:val="single"/>
        </w:rPr>
        <w:t>Dvojitý emulzní mikrokoberec EMK 0/8-DV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>Emulzní mikrokoberec</w:t>
      </w:r>
      <w:r w:rsidRPr="00D260A3">
        <w:rPr>
          <w:sz w:val="20"/>
          <w:szCs w:val="20"/>
        </w:rPr>
        <w:tab/>
        <w:t xml:space="preserve">EMK </w:t>
      </w:r>
      <w:r w:rsidRPr="00D260A3">
        <w:rPr>
          <w:sz w:val="20"/>
          <w:szCs w:val="20"/>
        </w:rPr>
        <w:tab/>
        <w:t>0/8-DV</w:t>
      </w:r>
      <w:r w:rsidRPr="00D260A3">
        <w:rPr>
          <w:sz w:val="20"/>
          <w:szCs w:val="20"/>
        </w:rPr>
        <w:tab/>
        <w:t xml:space="preserve">ČSN 73 6130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 xml:space="preserve">Spojovací postřik z </w:t>
      </w:r>
      <w:proofErr w:type="spellStart"/>
      <w:r w:rsidRPr="00D260A3">
        <w:rPr>
          <w:sz w:val="20"/>
          <w:szCs w:val="20"/>
        </w:rPr>
        <w:t>asf</w:t>
      </w:r>
      <w:proofErr w:type="spellEnd"/>
      <w:r w:rsidRPr="00D260A3">
        <w:rPr>
          <w:sz w:val="20"/>
          <w:szCs w:val="20"/>
        </w:rPr>
        <w:t>. emulze</w:t>
      </w:r>
      <w:r w:rsidRPr="00D260A3">
        <w:rPr>
          <w:sz w:val="20"/>
          <w:szCs w:val="20"/>
        </w:rPr>
        <w:tab/>
        <w:t>PS-E</w:t>
      </w:r>
      <w:r w:rsidRPr="00D260A3">
        <w:rPr>
          <w:sz w:val="20"/>
          <w:szCs w:val="20"/>
        </w:rPr>
        <w:tab/>
        <w:t xml:space="preserve">0,5 kg/m2 </w:t>
      </w:r>
      <w:r w:rsidRPr="00D260A3">
        <w:rPr>
          <w:sz w:val="20"/>
          <w:szCs w:val="20"/>
        </w:rPr>
        <w:tab/>
        <w:t xml:space="preserve">ČSN 73 6129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>Čištění vozovky – mytí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ab/>
        <w:t xml:space="preserve"> </w:t>
      </w:r>
    </w:p>
    <w:p w:rsidR="00D260A3" w:rsidRPr="00D260A3" w:rsidRDefault="00D260A3" w:rsidP="00D260A3">
      <w:pPr>
        <w:pStyle w:val="Default"/>
        <w:rPr>
          <w:b/>
          <w:sz w:val="20"/>
          <w:szCs w:val="20"/>
          <w:u w:val="single"/>
        </w:rPr>
      </w:pPr>
      <w:r w:rsidRPr="00D260A3">
        <w:rPr>
          <w:b/>
          <w:sz w:val="20"/>
          <w:szCs w:val="20"/>
          <w:u w:val="single"/>
        </w:rPr>
        <w:t>Sanace vozovky – lokální výspravy</w:t>
      </w:r>
    </w:p>
    <w:p w:rsidR="00D260A3" w:rsidRPr="00D260A3" w:rsidRDefault="00D260A3" w:rsidP="00D260A3">
      <w:pPr>
        <w:pStyle w:val="Default"/>
        <w:rPr>
          <w:sz w:val="20"/>
          <w:szCs w:val="20"/>
        </w:rPr>
      </w:pPr>
      <w:r w:rsidRPr="00D260A3">
        <w:rPr>
          <w:sz w:val="20"/>
          <w:szCs w:val="20"/>
        </w:rPr>
        <w:t>V místech trhlin a deformací budou provedeny lokální výspravy – cca. 15% plochy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 xml:space="preserve">Asfaltový beton pro obrusné vrstvy </w:t>
      </w:r>
      <w:r w:rsidRPr="00D260A3">
        <w:rPr>
          <w:sz w:val="20"/>
          <w:szCs w:val="20"/>
        </w:rPr>
        <w:tab/>
        <w:t xml:space="preserve">ACO 11+ </w:t>
      </w:r>
      <w:r w:rsidRPr="00D260A3">
        <w:rPr>
          <w:sz w:val="20"/>
          <w:szCs w:val="20"/>
        </w:rPr>
        <w:tab/>
        <w:t xml:space="preserve">50,0 mm </w:t>
      </w:r>
      <w:r w:rsidRPr="00D260A3">
        <w:rPr>
          <w:sz w:val="20"/>
          <w:szCs w:val="20"/>
        </w:rPr>
        <w:tab/>
        <w:t xml:space="preserve">ČSN EN 13108-1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>Spojovací postřik z asfaltové emulze</w:t>
      </w:r>
      <w:r w:rsidRPr="00D260A3">
        <w:rPr>
          <w:sz w:val="20"/>
          <w:szCs w:val="20"/>
        </w:rPr>
        <w:tab/>
        <w:t>PS-E</w:t>
      </w:r>
      <w:r w:rsidRPr="00D260A3">
        <w:rPr>
          <w:sz w:val="20"/>
          <w:szCs w:val="20"/>
        </w:rPr>
        <w:tab/>
        <w:t xml:space="preserve">0,5 kg/m2 </w:t>
      </w:r>
      <w:r w:rsidRPr="00D260A3">
        <w:rPr>
          <w:sz w:val="20"/>
          <w:szCs w:val="20"/>
        </w:rPr>
        <w:tab/>
        <w:t xml:space="preserve">ČSN 73 6129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proofErr w:type="gramStart"/>
      <w:r w:rsidRPr="00D260A3">
        <w:rPr>
          <w:sz w:val="20"/>
          <w:szCs w:val="20"/>
        </w:rPr>
        <w:t>Frézování                                                                                                  50,0</w:t>
      </w:r>
      <w:proofErr w:type="gramEnd"/>
      <w:r w:rsidRPr="00D260A3">
        <w:rPr>
          <w:sz w:val="20"/>
          <w:szCs w:val="20"/>
        </w:rPr>
        <w:t xml:space="preserve"> mm  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 xml:space="preserve">  </w:t>
      </w:r>
    </w:p>
    <w:p w:rsidR="00D260A3" w:rsidRPr="00D260A3" w:rsidRDefault="00D260A3" w:rsidP="00D260A3">
      <w:pPr>
        <w:pStyle w:val="Default"/>
        <w:rPr>
          <w:b/>
          <w:sz w:val="20"/>
          <w:szCs w:val="20"/>
          <w:u w:val="single"/>
        </w:rPr>
      </w:pPr>
      <w:r w:rsidRPr="00D260A3">
        <w:rPr>
          <w:b/>
          <w:sz w:val="20"/>
          <w:szCs w:val="20"/>
          <w:u w:val="single"/>
        </w:rPr>
        <w:t>Sanace vozovky – sanace podkladních vrstev do hloubky</w:t>
      </w:r>
    </w:p>
    <w:p w:rsidR="00D260A3" w:rsidRPr="00D260A3" w:rsidRDefault="00D260A3" w:rsidP="00D260A3">
      <w:pPr>
        <w:pStyle w:val="Default"/>
        <w:jc w:val="both"/>
        <w:rPr>
          <w:sz w:val="20"/>
          <w:szCs w:val="20"/>
        </w:rPr>
      </w:pPr>
      <w:r w:rsidRPr="00D260A3">
        <w:rPr>
          <w:sz w:val="20"/>
          <w:szCs w:val="20"/>
        </w:rPr>
        <w:t>V místech zdeformovaných okrajů vozovky budou provedeny hloubkové lokální sanace</w:t>
      </w:r>
    </w:p>
    <w:p w:rsidR="00D260A3" w:rsidRPr="00D260A3" w:rsidRDefault="00D260A3" w:rsidP="00D260A3">
      <w:pPr>
        <w:pStyle w:val="Default"/>
        <w:jc w:val="both"/>
        <w:rPr>
          <w:sz w:val="20"/>
          <w:szCs w:val="20"/>
        </w:rPr>
      </w:pPr>
      <w:r w:rsidRPr="00D260A3">
        <w:rPr>
          <w:sz w:val="20"/>
          <w:szCs w:val="20"/>
        </w:rPr>
        <w:t xml:space="preserve"> – cca. 2% plochy</w:t>
      </w:r>
    </w:p>
    <w:p w:rsidR="00D260A3" w:rsidRPr="00D260A3" w:rsidRDefault="00D260A3" w:rsidP="008712F0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 xml:space="preserve">Asfaltový beton pro obrusné vrstvy </w:t>
      </w:r>
      <w:r w:rsidRPr="00D260A3">
        <w:rPr>
          <w:sz w:val="20"/>
          <w:szCs w:val="20"/>
        </w:rPr>
        <w:tab/>
        <w:t xml:space="preserve">ACO 11+ </w:t>
      </w:r>
      <w:r w:rsidRPr="00D260A3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 xml:space="preserve">50 mm </w:t>
      </w:r>
      <w:r w:rsidRPr="00D260A3">
        <w:rPr>
          <w:sz w:val="20"/>
          <w:szCs w:val="20"/>
        </w:rPr>
        <w:tab/>
      </w:r>
      <w:r w:rsidR="00632A5C">
        <w:rPr>
          <w:sz w:val="20"/>
          <w:szCs w:val="20"/>
        </w:rPr>
        <w:t xml:space="preserve"> </w:t>
      </w:r>
      <w:bookmarkStart w:id="0" w:name="_GoBack"/>
      <w:bookmarkEnd w:id="0"/>
      <w:r w:rsidRPr="00D260A3">
        <w:rPr>
          <w:sz w:val="20"/>
          <w:szCs w:val="20"/>
        </w:rPr>
        <w:t xml:space="preserve">ČSN EN 13108-1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>Spojovací postřik z asfaltové emulze</w:t>
      </w:r>
      <w:r w:rsidRPr="00D260A3">
        <w:rPr>
          <w:sz w:val="20"/>
          <w:szCs w:val="20"/>
        </w:rPr>
        <w:tab/>
        <w:t>PS-E</w:t>
      </w:r>
      <w:r w:rsidRPr="00D260A3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 xml:space="preserve">0,5 kg/m2 </w:t>
      </w:r>
      <w:r w:rsidRPr="00D260A3">
        <w:rPr>
          <w:sz w:val="20"/>
          <w:szCs w:val="20"/>
        </w:rPr>
        <w:tab/>
      </w:r>
      <w:r w:rsidR="00632A5C"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>ČSN 73 6129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 xml:space="preserve">Asfaltový beton pro ložné vrstvy </w:t>
      </w:r>
      <w:r w:rsidRPr="00D260A3">
        <w:rPr>
          <w:sz w:val="20"/>
          <w:szCs w:val="20"/>
        </w:rPr>
        <w:tab/>
        <w:t xml:space="preserve">ACL 16+ </w:t>
      </w:r>
      <w:r w:rsidRPr="00D260A3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 xml:space="preserve">50 mm </w:t>
      </w:r>
      <w:r w:rsidRPr="00D260A3">
        <w:rPr>
          <w:sz w:val="20"/>
          <w:szCs w:val="20"/>
        </w:rPr>
        <w:tab/>
      </w:r>
      <w:r w:rsidR="00632A5C"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 xml:space="preserve">ČSN EN 13108-1 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D260A3">
        <w:rPr>
          <w:sz w:val="20"/>
          <w:szCs w:val="20"/>
        </w:rPr>
        <w:t>Infiltrační postřik z asfaltové emulze</w:t>
      </w:r>
      <w:r w:rsidRPr="00D260A3">
        <w:rPr>
          <w:sz w:val="20"/>
          <w:szCs w:val="20"/>
        </w:rPr>
        <w:tab/>
        <w:t>PI-E</w:t>
      </w:r>
      <w:r w:rsidRPr="00D260A3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 xml:space="preserve">1,0 kg/m2 </w:t>
      </w:r>
      <w:r w:rsidRPr="00D260A3">
        <w:rPr>
          <w:sz w:val="20"/>
          <w:szCs w:val="20"/>
        </w:rPr>
        <w:tab/>
      </w:r>
      <w:r w:rsidR="00632A5C">
        <w:rPr>
          <w:sz w:val="20"/>
          <w:szCs w:val="20"/>
        </w:rPr>
        <w:t xml:space="preserve"> </w:t>
      </w:r>
      <w:r w:rsidRPr="00D260A3">
        <w:rPr>
          <w:sz w:val="20"/>
          <w:szCs w:val="20"/>
        </w:rPr>
        <w:t>ČSN 73 6129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proofErr w:type="spellStart"/>
      <w:r w:rsidRPr="00D260A3">
        <w:rPr>
          <w:sz w:val="20"/>
          <w:szCs w:val="20"/>
        </w:rPr>
        <w:t>Štěrkodrť</w:t>
      </w:r>
      <w:proofErr w:type="spellEnd"/>
      <w:r w:rsidRPr="00D260A3">
        <w:rPr>
          <w:sz w:val="20"/>
          <w:szCs w:val="20"/>
        </w:rPr>
        <w:t xml:space="preserve">                                                                                ŠD</w:t>
      </w:r>
      <w:r w:rsidRPr="00D260A3">
        <w:rPr>
          <w:sz w:val="20"/>
          <w:szCs w:val="20"/>
          <w:vertAlign w:val="subscript"/>
        </w:rPr>
        <w:t>A</w:t>
      </w:r>
      <w:r w:rsidRPr="00D260A3">
        <w:rPr>
          <w:sz w:val="20"/>
          <w:szCs w:val="20"/>
        </w:rPr>
        <w:t xml:space="preserve">0/32     250 </w:t>
      </w:r>
      <w:proofErr w:type="gramStart"/>
      <w:r w:rsidRPr="00D260A3">
        <w:rPr>
          <w:sz w:val="20"/>
          <w:szCs w:val="20"/>
        </w:rPr>
        <w:t xml:space="preserve">mm    </w:t>
      </w:r>
      <w:r w:rsidR="00632A5C">
        <w:rPr>
          <w:sz w:val="20"/>
          <w:szCs w:val="20"/>
        </w:rPr>
        <w:t xml:space="preserve">   </w:t>
      </w:r>
      <w:r w:rsidRPr="00D260A3">
        <w:rPr>
          <w:sz w:val="20"/>
          <w:szCs w:val="20"/>
        </w:rPr>
        <w:t>ČSN</w:t>
      </w:r>
      <w:proofErr w:type="gramEnd"/>
      <w:r w:rsidRPr="00D260A3">
        <w:rPr>
          <w:sz w:val="20"/>
          <w:szCs w:val="20"/>
        </w:rPr>
        <w:t xml:space="preserve"> EN 13 108-1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proofErr w:type="spellStart"/>
      <w:r w:rsidRPr="00D260A3">
        <w:rPr>
          <w:sz w:val="20"/>
          <w:szCs w:val="20"/>
        </w:rPr>
        <w:t>Štěrkodrť</w:t>
      </w:r>
      <w:proofErr w:type="spellEnd"/>
      <w:r w:rsidRPr="00D260A3">
        <w:rPr>
          <w:sz w:val="20"/>
          <w:szCs w:val="20"/>
        </w:rPr>
        <w:t xml:space="preserve">                                                                                ŠD</w:t>
      </w:r>
      <w:r w:rsidRPr="00D260A3">
        <w:rPr>
          <w:sz w:val="20"/>
          <w:szCs w:val="20"/>
          <w:vertAlign w:val="subscript"/>
        </w:rPr>
        <w:t>A</w:t>
      </w:r>
      <w:r w:rsidRPr="00D260A3">
        <w:rPr>
          <w:sz w:val="20"/>
          <w:szCs w:val="20"/>
        </w:rPr>
        <w:t xml:space="preserve">0/63     300 </w:t>
      </w:r>
      <w:proofErr w:type="gramStart"/>
      <w:r w:rsidRPr="00D260A3">
        <w:rPr>
          <w:sz w:val="20"/>
          <w:szCs w:val="20"/>
        </w:rPr>
        <w:t xml:space="preserve">mm    </w:t>
      </w:r>
      <w:r w:rsidR="00632A5C">
        <w:rPr>
          <w:sz w:val="20"/>
          <w:szCs w:val="20"/>
        </w:rPr>
        <w:t xml:space="preserve">   </w:t>
      </w:r>
      <w:r w:rsidRPr="00D260A3">
        <w:rPr>
          <w:sz w:val="20"/>
          <w:szCs w:val="20"/>
        </w:rPr>
        <w:t>ČSN</w:t>
      </w:r>
      <w:proofErr w:type="gramEnd"/>
      <w:r w:rsidRPr="00D260A3">
        <w:rPr>
          <w:sz w:val="20"/>
          <w:szCs w:val="20"/>
        </w:rPr>
        <w:t xml:space="preserve"> EN 13 108-1</w:t>
      </w:r>
    </w:p>
    <w:p w:rsidR="00D260A3" w:rsidRPr="00D260A3" w:rsidRDefault="00D260A3" w:rsidP="00D260A3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proofErr w:type="gramStart"/>
      <w:r w:rsidRPr="00D260A3">
        <w:rPr>
          <w:sz w:val="20"/>
          <w:szCs w:val="20"/>
        </w:rPr>
        <w:t xml:space="preserve">Frézování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D260A3">
        <w:rPr>
          <w:sz w:val="20"/>
          <w:szCs w:val="20"/>
        </w:rPr>
        <w:t>100</w:t>
      </w:r>
      <w:proofErr w:type="gramEnd"/>
      <w:r w:rsidRPr="00D260A3">
        <w:rPr>
          <w:sz w:val="20"/>
          <w:szCs w:val="20"/>
        </w:rPr>
        <w:t xml:space="preserve"> mm     </w:t>
      </w:r>
    </w:p>
    <w:p w:rsidR="00D260A3" w:rsidRPr="00D260A3" w:rsidRDefault="00D260A3" w:rsidP="00D260A3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260A3">
        <w:rPr>
          <w:rFonts w:ascii="Arial" w:hAnsi="Arial" w:cs="Arial"/>
          <w:bCs/>
          <w:sz w:val="20"/>
          <w:szCs w:val="20"/>
        </w:rPr>
        <w:t xml:space="preserve">Odkop pro </w:t>
      </w:r>
      <w:proofErr w:type="gramStart"/>
      <w:r w:rsidRPr="00D260A3">
        <w:rPr>
          <w:rFonts w:ascii="Arial" w:hAnsi="Arial" w:cs="Arial"/>
          <w:bCs/>
          <w:sz w:val="20"/>
          <w:szCs w:val="20"/>
        </w:rPr>
        <w:t xml:space="preserve">sanace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                            </w:t>
      </w:r>
      <w:r w:rsidRPr="00D260A3">
        <w:rPr>
          <w:rFonts w:ascii="Arial" w:hAnsi="Arial" w:cs="Arial"/>
          <w:bCs/>
          <w:sz w:val="20"/>
          <w:szCs w:val="20"/>
        </w:rPr>
        <w:t>550</w:t>
      </w:r>
      <w:proofErr w:type="gramEnd"/>
      <w:r w:rsidRPr="00D260A3">
        <w:rPr>
          <w:rFonts w:ascii="Arial" w:hAnsi="Arial" w:cs="Arial"/>
          <w:bCs/>
          <w:sz w:val="20"/>
          <w:szCs w:val="20"/>
        </w:rPr>
        <w:t xml:space="preserve"> mm</w:t>
      </w:r>
    </w:p>
    <w:p w:rsidR="00D260A3" w:rsidRPr="00D260A3" w:rsidRDefault="00D260A3" w:rsidP="00D260A3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D260A3" w:rsidRPr="00D260A3" w:rsidRDefault="00D260A3" w:rsidP="00D260A3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260A3">
        <w:rPr>
          <w:rFonts w:ascii="Arial" w:hAnsi="Arial" w:cs="Arial"/>
          <w:b/>
          <w:sz w:val="20"/>
          <w:szCs w:val="20"/>
        </w:rPr>
        <w:t>Odvodnění komunikace:</w:t>
      </w: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 xml:space="preserve">Odvodnění silnice bude zachováno stávající. Silnice bude odvodněna příčným a podélným sklonem na terén a do stávajících podélných příkopu, které budou </w:t>
      </w:r>
      <w:proofErr w:type="spellStart"/>
      <w:r w:rsidRPr="00D260A3">
        <w:rPr>
          <w:rFonts w:ascii="Arial" w:eastAsia="Times New Roman" w:hAnsi="Arial" w:cs="Arial"/>
          <w:sz w:val="20"/>
          <w:szCs w:val="20"/>
          <w:lang w:eastAsia="cs-CZ"/>
        </w:rPr>
        <w:t>reprofilovány</w:t>
      </w:r>
      <w:proofErr w:type="spellEnd"/>
      <w:r w:rsidRPr="00D260A3">
        <w:rPr>
          <w:rFonts w:ascii="Arial" w:eastAsia="Times New Roman" w:hAnsi="Arial" w:cs="Arial"/>
          <w:sz w:val="20"/>
          <w:szCs w:val="20"/>
          <w:lang w:eastAsia="cs-CZ"/>
        </w:rPr>
        <w:t xml:space="preserve"> – výrobním oddělením KSÚSV </w:t>
      </w:r>
      <w:proofErr w:type="spellStart"/>
      <w:proofErr w:type="gramStart"/>
      <w:r w:rsidRPr="00D260A3">
        <w:rPr>
          <w:rFonts w:ascii="Arial" w:eastAsia="Times New Roman" w:hAnsi="Arial" w:cs="Arial"/>
          <w:sz w:val="20"/>
          <w:szCs w:val="20"/>
          <w:lang w:eastAsia="cs-CZ"/>
        </w:rPr>
        <w:t>p.o</w:t>
      </w:r>
      <w:proofErr w:type="spellEnd"/>
      <w:r w:rsidRPr="00D260A3">
        <w:rPr>
          <w:rFonts w:ascii="Arial" w:eastAsia="Times New Roman" w:hAnsi="Arial" w:cs="Arial"/>
          <w:sz w:val="20"/>
          <w:szCs w:val="20"/>
          <w:lang w:eastAsia="cs-CZ"/>
        </w:rPr>
        <w:t>..</w:t>
      </w:r>
      <w:proofErr w:type="gramEnd"/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u w:val="single"/>
          <w:lang w:eastAsia="cs-CZ"/>
        </w:rPr>
        <w:t>Vodorovné dopravní značení:</w:t>
      </w: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>Bude zachován stávající systém dopravního značení obnovou vodorovného značení v barvě. Vodící čára V4 šířky 0,125 m v bílé barvě.</w:t>
      </w: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u w:val="single"/>
          <w:lang w:eastAsia="cs-CZ"/>
        </w:rPr>
        <w:t>Svislé dopravní značení:</w:t>
      </w: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>Svislé dopravní značení bude zachováno stávající. Budou doplněny směrové sloupky Z11a a Z11b a na sjezdech sloupky v červené barvě Z11c a Z11d.</w:t>
      </w: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b/>
          <w:sz w:val="20"/>
          <w:szCs w:val="20"/>
          <w:lang w:eastAsia="cs-CZ"/>
        </w:rPr>
        <w:t>Dopravně inženýrská opatření (DIO) – součást SO 000</w:t>
      </w:r>
    </w:p>
    <w:p w:rsidR="00D260A3" w:rsidRPr="00D260A3" w:rsidRDefault="00D260A3" w:rsidP="00D260A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>Návrh dopravních opatření není součástí PD. Konkrétní postup prací včetně časového harmonogramu a podrobného návrhu DIO bude součástí dokumentace zhotovitele. Návrh dopravních opatření bude v souladu s TP 66. Současně je však třeba zajistit přístup na sousední pozemky zajištěním přístupu pro pěší a zachováním možností příjezdu vozidel IZS.</w:t>
      </w:r>
    </w:p>
    <w:p w:rsidR="00D260A3" w:rsidRPr="00D260A3" w:rsidRDefault="00D260A3" w:rsidP="00D260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60A3">
        <w:rPr>
          <w:rFonts w:ascii="Arial" w:hAnsi="Arial" w:cs="Arial"/>
          <w:sz w:val="20"/>
          <w:szCs w:val="20"/>
        </w:rPr>
        <w:t>Stavba bude prováděna za omezeného provozu – pracovní místa nebo za úplného vyloučení provozu v jedné etapě. Rozhodnutí o omezení či vyloučení dopravy bude uskutečněno na základě dohody se zhotovitelem.</w:t>
      </w:r>
    </w:p>
    <w:p w:rsidR="00D260A3" w:rsidRPr="00D260A3" w:rsidRDefault="00D260A3" w:rsidP="00D260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60A3" w:rsidRPr="00D260A3" w:rsidRDefault="00D260A3" w:rsidP="00D260A3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D260A3" w:rsidRPr="00D260A3" w:rsidRDefault="00D260A3" w:rsidP="00D260A3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  <w:r w:rsidRPr="00D260A3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Zadávací podklady</w:t>
      </w:r>
    </w:p>
    <w:p w:rsidR="00D260A3" w:rsidRPr="00D260A3" w:rsidRDefault="00D260A3" w:rsidP="00D260A3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D260A3" w:rsidRPr="00D260A3" w:rsidRDefault="00D260A3" w:rsidP="00D260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260A3">
        <w:rPr>
          <w:rFonts w:ascii="Arial" w:eastAsia="Times New Roman" w:hAnsi="Arial" w:cs="Arial"/>
          <w:sz w:val="20"/>
          <w:szCs w:val="20"/>
          <w:lang w:eastAsia="cs-CZ"/>
        </w:rPr>
        <w:t xml:space="preserve">Požadavky na opravu silnice jsou specifikovány v PD </w:t>
      </w:r>
      <w:r w:rsidRPr="00D260A3">
        <w:rPr>
          <w:rFonts w:ascii="Arial" w:hAnsi="Arial" w:cs="Arial"/>
          <w:sz w:val="20"/>
          <w:szCs w:val="20"/>
        </w:rPr>
        <w:t xml:space="preserve">„II/351 Čechtín – Račerovice - Třebíč“ vypracovaná v dubnu 2023 </w:t>
      </w:r>
      <w:r w:rsidRPr="00D260A3">
        <w:rPr>
          <w:rFonts w:ascii="Arial" w:eastAsia="Times New Roman" w:hAnsi="Arial" w:cs="Arial"/>
          <w:sz w:val="20"/>
          <w:szCs w:val="20"/>
          <w:lang w:eastAsia="cs-CZ"/>
        </w:rPr>
        <w:t>které ve stupni DSP spolu se soupisem prací v programu ASPE zpracoval Ing. Julius Janeba; IČ: 09648593, Rokytno 57, 592 31 Nové Město na Moravě.</w:t>
      </w:r>
    </w:p>
    <w:p w:rsidR="00D260A3" w:rsidRPr="00D260A3" w:rsidRDefault="00D260A3" w:rsidP="00D260A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05DED" w:rsidRPr="00D260A3" w:rsidRDefault="00305DED" w:rsidP="00305DED">
      <w:pPr>
        <w:tabs>
          <w:tab w:val="left" w:pos="1134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</w:p>
    <w:p w:rsidR="00305DED" w:rsidRPr="00D260A3" w:rsidRDefault="00305DED" w:rsidP="00305DED">
      <w:pPr>
        <w:spacing w:after="120" w:line="240" w:lineRule="auto"/>
        <w:jc w:val="both"/>
        <w:rPr>
          <w:rStyle w:val="Nadpis5Char"/>
          <w:rFonts w:ascii="Arial" w:eastAsia="Calibri" w:hAnsi="Arial" w:cs="Arial"/>
          <w:i w:val="0"/>
          <w:sz w:val="20"/>
          <w:szCs w:val="20"/>
        </w:rPr>
      </w:pPr>
    </w:p>
    <w:sectPr w:rsidR="00305DED" w:rsidRPr="00D260A3" w:rsidSect="004F4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712F0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8712F0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B477D7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D7" w:rsidRDefault="00B477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6"/>
  </w:num>
  <w:num w:numId="9">
    <w:abstractNumId w:val="13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  <w:num w:numId="14">
    <w:abstractNumId w:val="21"/>
  </w:num>
  <w:num w:numId="15">
    <w:abstractNumId w:val="19"/>
  </w:num>
  <w:num w:numId="16">
    <w:abstractNumId w:val="4"/>
  </w:num>
  <w:num w:numId="17">
    <w:abstractNumId w:val="10"/>
  </w:num>
  <w:num w:numId="18">
    <w:abstractNumId w:val="22"/>
  </w:num>
  <w:num w:numId="19">
    <w:abstractNumId w:val="18"/>
  </w:num>
  <w:num w:numId="20">
    <w:abstractNumId w:val="8"/>
  </w:num>
  <w:num w:numId="21">
    <w:abstractNumId w:val="23"/>
  </w:num>
  <w:num w:numId="22">
    <w:abstractNumId w:val="1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63465"/>
    <w:rsid w:val="00077603"/>
    <w:rsid w:val="00091A0B"/>
    <w:rsid w:val="000C549D"/>
    <w:rsid w:val="00100AEC"/>
    <w:rsid w:val="00105330"/>
    <w:rsid w:val="001310C6"/>
    <w:rsid w:val="00143858"/>
    <w:rsid w:val="00150F88"/>
    <w:rsid w:val="00153C52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97B67"/>
    <w:rsid w:val="002A2808"/>
    <w:rsid w:val="002A70F8"/>
    <w:rsid w:val="002D116F"/>
    <w:rsid w:val="002D2AC8"/>
    <w:rsid w:val="00305DED"/>
    <w:rsid w:val="00322187"/>
    <w:rsid w:val="00335791"/>
    <w:rsid w:val="003634A2"/>
    <w:rsid w:val="0036360F"/>
    <w:rsid w:val="003A6635"/>
    <w:rsid w:val="003B523E"/>
    <w:rsid w:val="003C0016"/>
    <w:rsid w:val="003D36F1"/>
    <w:rsid w:val="003F0F3C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67014"/>
    <w:rsid w:val="00575531"/>
    <w:rsid w:val="005875BA"/>
    <w:rsid w:val="005A2999"/>
    <w:rsid w:val="005C7610"/>
    <w:rsid w:val="005E469A"/>
    <w:rsid w:val="005E59F4"/>
    <w:rsid w:val="00605337"/>
    <w:rsid w:val="0060692D"/>
    <w:rsid w:val="0061488E"/>
    <w:rsid w:val="00627D75"/>
    <w:rsid w:val="00632A5C"/>
    <w:rsid w:val="00633927"/>
    <w:rsid w:val="00635E1D"/>
    <w:rsid w:val="00651DA9"/>
    <w:rsid w:val="00651F7A"/>
    <w:rsid w:val="00660B95"/>
    <w:rsid w:val="006916B1"/>
    <w:rsid w:val="006A0285"/>
    <w:rsid w:val="006A3AD9"/>
    <w:rsid w:val="007172CC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21D8A"/>
    <w:rsid w:val="00844B90"/>
    <w:rsid w:val="0085017D"/>
    <w:rsid w:val="008602B0"/>
    <w:rsid w:val="008712F0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46275"/>
    <w:rsid w:val="009470C5"/>
    <w:rsid w:val="00966055"/>
    <w:rsid w:val="00972FC3"/>
    <w:rsid w:val="00981014"/>
    <w:rsid w:val="009A2166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65A4A"/>
    <w:rsid w:val="00A93CA0"/>
    <w:rsid w:val="00AA21EC"/>
    <w:rsid w:val="00AA42F6"/>
    <w:rsid w:val="00AA76D7"/>
    <w:rsid w:val="00AE6DB4"/>
    <w:rsid w:val="00AF5553"/>
    <w:rsid w:val="00AF5D3F"/>
    <w:rsid w:val="00B0273E"/>
    <w:rsid w:val="00B31119"/>
    <w:rsid w:val="00B3596C"/>
    <w:rsid w:val="00B41130"/>
    <w:rsid w:val="00B4147B"/>
    <w:rsid w:val="00B4322A"/>
    <w:rsid w:val="00B44286"/>
    <w:rsid w:val="00B477D7"/>
    <w:rsid w:val="00B545BC"/>
    <w:rsid w:val="00B64492"/>
    <w:rsid w:val="00B72CB0"/>
    <w:rsid w:val="00BD08E8"/>
    <w:rsid w:val="00BF7F20"/>
    <w:rsid w:val="00C040A0"/>
    <w:rsid w:val="00C0508D"/>
    <w:rsid w:val="00C052D9"/>
    <w:rsid w:val="00C34F5B"/>
    <w:rsid w:val="00C52667"/>
    <w:rsid w:val="00C65520"/>
    <w:rsid w:val="00CA6C69"/>
    <w:rsid w:val="00CB1CE3"/>
    <w:rsid w:val="00CE4F6E"/>
    <w:rsid w:val="00CF3EA0"/>
    <w:rsid w:val="00D1051F"/>
    <w:rsid w:val="00D21DBE"/>
    <w:rsid w:val="00D24A4F"/>
    <w:rsid w:val="00D260A3"/>
    <w:rsid w:val="00D44AAC"/>
    <w:rsid w:val="00D674D6"/>
    <w:rsid w:val="00D7653D"/>
    <w:rsid w:val="00D83014"/>
    <w:rsid w:val="00DA5742"/>
    <w:rsid w:val="00E02F34"/>
    <w:rsid w:val="00E12753"/>
    <w:rsid w:val="00E26473"/>
    <w:rsid w:val="00E336FE"/>
    <w:rsid w:val="00E36ADA"/>
    <w:rsid w:val="00E4411A"/>
    <w:rsid w:val="00E72616"/>
    <w:rsid w:val="00EA03AD"/>
    <w:rsid w:val="00EC1B3F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609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58</cp:revision>
  <cp:lastPrinted>2024-12-17T13:06:00Z</cp:lastPrinted>
  <dcterms:created xsi:type="dcterms:W3CDTF">2020-01-14T13:40:00Z</dcterms:created>
  <dcterms:modified xsi:type="dcterms:W3CDTF">2025-04-16T12:03:00Z</dcterms:modified>
</cp:coreProperties>
</file>